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B3" w:rsidRDefault="00D829B3" w:rsidP="00D829B3">
      <w:pPr>
        <w:jc w:val="center"/>
        <w:rPr>
          <w:b/>
          <w:bCs/>
        </w:rPr>
      </w:pPr>
      <w:r>
        <w:rPr>
          <w:b/>
          <w:bCs/>
        </w:rPr>
        <w:t xml:space="preserve">П А М </w:t>
      </w:r>
      <w:r w:rsidRPr="00243277">
        <w:rPr>
          <w:b/>
          <w:bCs/>
          <w:lang w:val="ru-RU"/>
        </w:rPr>
        <w:t>’</w:t>
      </w:r>
      <w:r>
        <w:rPr>
          <w:b/>
          <w:bCs/>
        </w:rPr>
        <w:t xml:space="preserve"> Я Т К А  </w:t>
      </w:r>
    </w:p>
    <w:p w:rsidR="004712EF" w:rsidRPr="005858E4" w:rsidRDefault="004712EF" w:rsidP="00D829B3">
      <w:pPr>
        <w:jc w:val="center"/>
        <w:rPr>
          <w:b/>
          <w:bCs/>
          <w:u w:val="single"/>
        </w:rPr>
      </w:pPr>
      <w:r w:rsidRPr="005858E4">
        <w:rPr>
          <w:b/>
          <w:bCs/>
          <w:u w:val="single"/>
        </w:rPr>
        <w:t>Обмеження щодо сумісництва та суміщення з іншими видами діяльності</w:t>
      </w:r>
    </w:p>
    <w:p w:rsidR="004712EF" w:rsidRPr="00E377B4" w:rsidRDefault="004712EF" w:rsidP="004712EF">
      <w:pPr>
        <w:rPr>
          <w:b/>
        </w:rPr>
      </w:pPr>
      <w:r w:rsidRPr="004712EF">
        <w:t xml:space="preserve"> </w:t>
      </w:r>
      <w:r w:rsidRPr="00E377B4">
        <w:rPr>
          <w:b/>
        </w:rPr>
        <w:t>Зміст обмеження щодо зайняття іншою оплачуваною або підприємницькою діяльністю</w:t>
      </w:r>
    </w:p>
    <w:p w:rsidR="004712EF" w:rsidRPr="00AE719C" w:rsidRDefault="004712EF" w:rsidP="00AE719C">
      <w:pPr>
        <w:jc w:val="both"/>
        <w:rPr>
          <w:rFonts w:ascii="Times New Roman" w:hAnsi="Times New Roman" w:cs="Times New Roman"/>
          <w:b/>
        </w:rPr>
      </w:pPr>
      <w:r w:rsidRPr="00AE719C">
        <w:rPr>
          <w:rFonts w:ascii="Times New Roman" w:hAnsi="Times New Roman" w:cs="Times New Roman"/>
          <w:b/>
        </w:rPr>
        <w:t xml:space="preserve">У ст. 25 Закону </w:t>
      </w:r>
      <w:r w:rsidR="00E377B4" w:rsidRPr="00AE719C">
        <w:rPr>
          <w:rFonts w:ascii="Times New Roman" w:hAnsi="Times New Roman" w:cs="Times New Roman"/>
          <w:b/>
        </w:rPr>
        <w:t xml:space="preserve">України «Про запобігання корупції»  </w:t>
      </w:r>
      <w:r w:rsidRPr="00AE719C">
        <w:rPr>
          <w:rFonts w:ascii="Times New Roman" w:hAnsi="Times New Roman" w:cs="Times New Roman"/>
          <w:b/>
        </w:rPr>
        <w:t>визначено обмеження щодо сумісництва та суміщення з іншими видами діяльності для осіб, зазначених у п. 1 ч. 1 ст. 3 Закону</w:t>
      </w:r>
      <w:r w:rsidR="00E377B4" w:rsidRPr="00AE719C">
        <w:rPr>
          <w:rFonts w:ascii="Times New Roman" w:hAnsi="Times New Roman" w:cs="Times New Roman"/>
          <w:b/>
        </w:rPr>
        <w:t>.</w:t>
      </w:r>
      <w:r w:rsidRPr="00AE719C">
        <w:rPr>
          <w:rFonts w:ascii="Times New Roman" w:hAnsi="Times New Roman" w:cs="Times New Roman"/>
          <w:b/>
        </w:rPr>
        <w:t xml:space="preserve"> </w:t>
      </w:r>
      <w:r w:rsidR="00D829B3" w:rsidRPr="00AE719C">
        <w:rPr>
          <w:rFonts w:ascii="Times New Roman" w:hAnsi="Times New Roman" w:cs="Times New Roman"/>
          <w:b/>
        </w:rPr>
        <w:t xml:space="preserve"> </w:t>
      </w:r>
    </w:p>
    <w:p w:rsidR="004712EF" w:rsidRPr="005858E4" w:rsidRDefault="004712EF" w:rsidP="00AE719C">
      <w:pPr>
        <w:jc w:val="both"/>
        <w:rPr>
          <w:rFonts w:ascii="Times New Roman" w:hAnsi="Times New Roman" w:cs="Times New Roman"/>
        </w:rPr>
      </w:pPr>
      <w:r w:rsidRPr="005858E4">
        <w:rPr>
          <w:rFonts w:ascii="Times New Roman" w:hAnsi="Times New Roman" w:cs="Times New Roman"/>
        </w:rPr>
        <w:t>Цим особам заборонено займатися іншою оплачуваною (крім викладацької, наукової та творчої діяльності, медичної практики, інструкторської та суддівської практики зі спорту) або підприємницькою діяльністю, якщо інше не передбачено Конституцією або законами України (п. 1 ч. 1 ст. 25 Закону).</w:t>
      </w:r>
    </w:p>
    <w:p w:rsidR="004712EF" w:rsidRPr="005858E4" w:rsidRDefault="004712EF" w:rsidP="00AE719C">
      <w:pPr>
        <w:jc w:val="both"/>
        <w:rPr>
          <w:rFonts w:ascii="Times New Roman" w:hAnsi="Times New Roman" w:cs="Times New Roman"/>
        </w:rPr>
      </w:pPr>
      <w:r w:rsidRPr="005858E4">
        <w:rPr>
          <w:rFonts w:ascii="Times New Roman" w:hAnsi="Times New Roman" w:cs="Times New Roman"/>
        </w:rPr>
        <w:t>Обмеження щодо сумісництва та суміщення з іншими видами діяльності не поширюються на:</w:t>
      </w:r>
    </w:p>
    <w:p w:rsidR="004712EF" w:rsidRPr="005858E4" w:rsidRDefault="004712EF" w:rsidP="00AE719C">
      <w:pPr>
        <w:pStyle w:val="a3"/>
        <w:ind w:firstLine="284"/>
        <w:jc w:val="both"/>
        <w:rPr>
          <w:rFonts w:ascii="Times New Roman" w:hAnsi="Times New Roman" w:cs="Times New Roman"/>
        </w:rPr>
      </w:pPr>
      <w:r w:rsidRPr="005858E4">
        <w:rPr>
          <w:rFonts w:ascii="Times New Roman" w:hAnsi="Times New Roman" w:cs="Times New Roman"/>
        </w:rPr>
        <w:t>депутатів Верховної Ради Автономної Республіки Крим;</w:t>
      </w:r>
    </w:p>
    <w:p w:rsidR="004712EF" w:rsidRPr="005858E4" w:rsidRDefault="004712EF" w:rsidP="005858E4">
      <w:pPr>
        <w:pStyle w:val="a3"/>
        <w:ind w:firstLine="284"/>
        <w:rPr>
          <w:rFonts w:ascii="Times New Roman" w:hAnsi="Times New Roman" w:cs="Times New Roman"/>
        </w:rPr>
      </w:pPr>
      <w:r w:rsidRPr="005858E4">
        <w:rPr>
          <w:rFonts w:ascii="Times New Roman" w:hAnsi="Times New Roman" w:cs="Times New Roman"/>
        </w:rPr>
        <w:t>депутатів місцевих рад (крім тих, які здійснюють свої повноваження у відповідній раді на постійній основі);</w:t>
      </w:r>
    </w:p>
    <w:p w:rsidR="004712EF" w:rsidRPr="005858E4" w:rsidRDefault="004712EF" w:rsidP="005858E4">
      <w:pPr>
        <w:pStyle w:val="a3"/>
        <w:ind w:firstLine="284"/>
        <w:rPr>
          <w:rFonts w:ascii="Times New Roman" w:hAnsi="Times New Roman" w:cs="Times New Roman"/>
        </w:rPr>
      </w:pPr>
      <w:r w:rsidRPr="005858E4">
        <w:rPr>
          <w:rFonts w:ascii="Times New Roman" w:hAnsi="Times New Roman" w:cs="Times New Roman"/>
        </w:rPr>
        <w:t>присяжних;</w:t>
      </w:r>
    </w:p>
    <w:p w:rsidR="004712EF" w:rsidRPr="005858E4" w:rsidRDefault="004712EF" w:rsidP="005858E4">
      <w:pPr>
        <w:pStyle w:val="a3"/>
        <w:ind w:firstLine="284"/>
        <w:rPr>
          <w:rFonts w:ascii="Times New Roman" w:hAnsi="Times New Roman" w:cs="Times New Roman"/>
        </w:rPr>
      </w:pPr>
      <w:r w:rsidRPr="005858E4">
        <w:rPr>
          <w:rFonts w:ascii="Times New Roman" w:hAnsi="Times New Roman" w:cs="Times New Roman"/>
        </w:rPr>
        <w:t>помічників-консультантів народних депутатів України;</w:t>
      </w:r>
    </w:p>
    <w:p w:rsidR="004712EF" w:rsidRPr="005858E4" w:rsidRDefault="004712EF" w:rsidP="005858E4">
      <w:pPr>
        <w:pStyle w:val="a3"/>
        <w:ind w:firstLine="284"/>
        <w:rPr>
          <w:rFonts w:ascii="Times New Roman" w:hAnsi="Times New Roman" w:cs="Times New Roman"/>
        </w:rPr>
      </w:pPr>
      <w:r w:rsidRPr="005858E4">
        <w:rPr>
          <w:rFonts w:ascii="Times New Roman" w:hAnsi="Times New Roman" w:cs="Times New Roman"/>
        </w:rPr>
        <w:t>працівників секретаріатів Голови Верховної Ради України, Першого заступника Голови Верховної Ради України та заступника Голови Верховної Ради України;</w:t>
      </w:r>
      <w:bookmarkStart w:id="0" w:name="_GoBack"/>
      <w:bookmarkEnd w:id="0"/>
    </w:p>
    <w:p w:rsidR="004712EF" w:rsidRPr="005858E4" w:rsidRDefault="004712EF" w:rsidP="005858E4">
      <w:pPr>
        <w:pStyle w:val="a3"/>
        <w:ind w:firstLine="284"/>
        <w:rPr>
          <w:rFonts w:ascii="Times New Roman" w:hAnsi="Times New Roman" w:cs="Times New Roman"/>
        </w:rPr>
      </w:pPr>
      <w:r w:rsidRPr="005858E4">
        <w:rPr>
          <w:rFonts w:ascii="Times New Roman" w:hAnsi="Times New Roman" w:cs="Times New Roman"/>
        </w:rPr>
        <w:t>працівників секретаріатів депутатських фракцій (депутатських груп) у Верховній Раді України;</w:t>
      </w:r>
    </w:p>
    <w:p w:rsidR="004712EF" w:rsidRPr="005858E4" w:rsidRDefault="004712EF" w:rsidP="005858E4">
      <w:pPr>
        <w:pStyle w:val="a3"/>
        <w:ind w:firstLine="284"/>
        <w:rPr>
          <w:rFonts w:ascii="Times New Roman" w:hAnsi="Times New Roman" w:cs="Times New Roman"/>
        </w:rPr>
      </w:pPr>
      <w:r w:rsidRPr="005858E4">
        <w:rPr>
          <w:rFonts w:ascii="Times New Roman" w:hAnsi="Times New Roman" w:cs="Times New Roman"/>
        </w:rPr>
        <w:t>працівників патронатних служб у державних органах.</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Іншою оплачуваною діяльністю є будь-яка діяльність, що не містить ознак підприємницької та полягає у виконанні робіт та/або наданні послуг, які оплачуються або можуть бути оплачені у майбутньому.</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Визначене п. 1 ч. 1 ст. 25 Закону обмеження сфокусовано не на винагороді за результатами здійснення нею іншої, ніж виконання функцій держави або місцевого самоврядування, діяльності, а саме на зайнятті такою діяльністю, яка оплачується чи може бути оплачена.</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Отже, власне факт зайняття особою іншою оплачуваною діяльністю (умови щодо здійснення певної діяльності на платній чи безоплатній основі можуть визначатися, у тому числі, законодавством, трудовим чи іншим договором, статутом та іншими документами юридичної особи), незалежно від фінансових результатів такої діяльності, свідчитиме про порушення зазначених вимог Закону.</w:t>
      </w:r>
    </w:p>
    <w:tbl>
      <w:tblPr>
        <w:tblW w:w="10065" w:type="dxa"/>
        <w:tblCellMar>
          <w:top w:w="15" w:type="dxa"/>
          <w:left w:w="15" w:type="dxa"/>
          <w:bottom w:w="15" w:type="dxa"/>
          <w:right w:w="15" w:type="dxa"/>
        </w:tblCellMar>
        <w:tblLook w:val="04A0" w:firstRow="1" w:lastRow="0" w:firstColumn="1" w:lastColumn="0" w:noHBand="0" w:noVBand="1"/>
      </w:tblPr>
      <w:tblGrid>
        <w:gridCol w:w="10065"/>
      </w:tblGrid>
      <w:tr w:rsidR="004712EF" w:rsidRPr="005858E4" w:rsidTr="00243277">
        <w:trPr>
          <w:trHeight w:val="805"/>
        </w:trPr>
        <w:tc>
          <w:tcPr>
            <w:tcW w:w="10065" w:type="dxa"/>
            <w:tcMar>
              <w:top w:w="150" w:type="dxa"/>
              <w:left w:w="225" w:type="dxa"/>
              <w:bottom w:w="150" w:type="dxa"/>
              <w:right w:w="150" w:type="dxa"/>
            </w:tcMar>
            <w:hideMark/>
          </w:tcPr>
          <w:p w:rsidR="004712EF" w:rsidRPr="005858E4" w:rsidRDefault="004712EF" w:rsidP="00E377B4">
            <w:pPr>
              <w:jc w:val="both"/>
              <w:rPr>
                <w:rFonts w:ascii="Times New Roman" w:hAnsi="Times New Roman" w:cs="Times New Roman"/>
              </w:rPr>
            </w:pPr>
            <w:r w:rsidRPr="005858E4">
              <w:rPr>
                <w:rFonts w:ascii="Times New Roman" w:hAnsi="Times New Roman" w:cs="Times New Roman"/>
                <w:b/>
              </w:rPr>
              <w:t>Підприємництво</w:t>
            </w:r>
            <w:r w:rsidRPr="005858E4">
              <w:rPr>
                <w:rFonts w:ascii="Times New Roman" w:hAnsi="Times New Roman" w:cs="Times New Roman"/>
              </w:rPr>
              <w:t xml:space="preserve">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(ч. 1 ст. 42 ГК).</w:t>
            </w:r>
          </w:p>
        </w:tc>
      </w:tr>
      <w:tr w:rsidR="004712EF" w:rsidRPr="005858E4" w:rsidTr="005858E4">
        <w:trPr>
          <w:trHeight w:val="1373"/>
        </w:trPr>
        <w:tc>
          <w:tcPr>
            <w:tcW w:w="10065" w:type="dxa"/>
            <w:tcMar>
              <w:top w:w="150" w:type="dxa"/>
              <w:left w:w="225" w:type="dxa"/>
              <w:bottom w:w="150" w:type="dxa"/>
              <w:right w:w="150" w:type="dxa"/>
            </w:tcMar>
            <w:hideMark/>
          </w:tcPr>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 </w:t>
            </w:r>
            <w:r w:rsidRPr="005858E4">
              <w:rPr>
                <w:rFonts w:ascii="Times New Roman" w:hAnsi="Times New Roman" w:cs="Times New Roman"/>
                <w:b/>
              </w:rPr>
              <w:t>Господарська діяльність</w:t>
            </w:r>
            <w:r w:rsidRPr="005858E4">
              <w:rPr>
                <w:rFonts w:ascii="Times New Roman" w:hAnsi="Times New Roman" w:cs="Times New Roman"/>
              </w:rPr>
              <w:t xml:space="preserve"> — це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При цьому господарська діяльність, що здійснюється для досягнення економічних і соціальних результатів та з метою одержання прибутку, є підприємництвом, а суб’єкти підприємництва – підприємцями (ст. 3 ГК).</w:t>
            </w:r>
          </w:p>
        </w:tc>
      </w:tr>
      <w:tr w:rsidR="004712EF" w:rsidRPr="005858E4" w:rsidTr="00E377B4">
        <w:tc>
          <w:tcPr>
            <w:tcW w:w="10065" w:type="dxa"/>
            <w:tcMar>
              <w:top w:w="150" w:type="dxa"/>
              <w:left w:w="225" w:type="dxa"/>
              <w:bottom w:w="150" w:type="dxa"/>
              <w:right w:w="150" w:type="dxa"/>
            </w:tcMar>
            <w:hideMark/>
          </w:tcPr>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 </w:t>
            </w:r>
            <w:r w:rsidRPr="005858E4">
              <w:rPr>
                <w:rFonts w:ascii="Times New Roman" w:hAnsi="Times New Roman" w:cs="Times New Roman"/>
                <w:b/>
              </w:rPr>
              <w:t>Самозайнята особа</w:t>
            </w:r>
            <w:r w:rsidRPr="005858E4">
              <w:rPr>
                <w:rFonts w:ascii="Times New Roman" w:hAnsi="Times New Roman" w:cs="Times New Roman"/>
              </w:rPr>
              <w:t xml:space="preserve"> — платник податку, який є ФОП або провадить незалежну професійну діяльність за умови, що така особа не є працівником у межах такої підприємницької чи незалежної професійної діяльності (</w:t>
            </w:r>
            <w:proofErr w:type="spellStart"/>
            <w:r w:rsidRPr="005858E4">
              <w:rPr>
                <w:rFonts w:ascii="Times New Roman" w:hAnsi="Times New Roman" w:cs="Times New Roman"/>
              </w:rPr>
              <w:t>п.п</w:t>
            </w:r>
            <w:proofErr w:type="spellEnd"/>
            <w:r w:rsidRPr="005858E4">
              <w:rPr>
                <w:rFonts w:ascii="Times New Roman" w:hAnsi="Times New Roman" w:cs="Times New Roman"/>
              </w:rPr>
              <w:t>. 14.1.226 п. 14.1 ст. 14 ПК).</w:t>
            </w:r>
          </w:p>
        </w:tc>
      </w:tr>
    </w:tbl>
    <w:p w:rsidR="004712EF" w:rsidRPr="005858E4" w:rsidRDefault="005858E4" w:rsidP="00E377B4">
      <w:pPr>
        <w:jc w:val="both"/>
        <w:rPr>
          <w:rFonts w:ascii="Times New Roman" w:hAnsi="Times New Roman" w:cs="Times New Roman"/>
        </w:rPr>
      </w:pPr>
      <w:r>
        <w:rPr>
          <w:rFonts w:ascii="Times New Roman" w:hAnsi="Times New Roman" w:cs="Times New Roman"/>
          <w:b/>
          <w:bCs/>
        </w:rPr>
        <w:t xml:space="preserve">      </w:t>
      </w:r>
      <w:r w:rsidR="004712EF" w:rsidRPr="005858E4">
        <w:rPr>
          <w:rFonts w:ascii="Times New Roman" w:hAnsi="Times New Roman" w:cs="Times New Roman"/>
          <w:b/>
          <w:bCs/>
        </w:rPr>
        <w:t>Зверніть увагу. </w:t>
      </w:r>
      <w:r w:rsidR="004712EF" w:rsidRPr="005858E4">
        <w:rPr>
          <w:rFonts w:ascii="Times New Roman" w:hAnsi="Times New Roman" w:cs="Times New Roman"/>
        </w:rPr>
        <w:t>Викладацька, наукова та творча діяльність, медична практика, інструкторська та суддівська практика зі спорту також можуть бути видами підприємницької діяльності. Якщо особа займається вищевказаними видами діяльності як ФОП, матиме місце порушення заборони, встановленої у п. 1 ч. 1 ст. 25 Закону.</w:t>
      </w:r>
    </w:p>
    <w:tbl>
      <w:tblPr>
        <w:tblW w:w="10065" w:type="dxa"/>
        <w:tblCellMar>
          <w:top w:w="15" w:type="dxa"/>
          <w:left w:w="15" w:type="dxa"/>
          <w:bottom w:w="15" w:type="dxa"/>
          <w:right w:w="15" w:type="dxa"/>
        </w:tblCellMar>
        <w:tblLook w:val="04A0" w:firstRow="1" w:lastRow="0" w:firstColumn="1" w:lastColumn="0" w:noHBand="0" w:noVBand="1"/>
      </w:tblPr>
      <w:tblGrid>
        <w:gridCol w:w="10065"/>
      </w:tblGrid>
      <w:tr w:rsidR="004712EF" w:rsidRPr="005858E4" w:rsidTr="005858E4">
        <w:trPr>
          <w:trHeight w:val="555"/>
        </w:trPr>
        <w:tc>
          <w:tcPr>
            <w:tcW w:w="10065" w:type="dxa"/>
            <w:tcMar>
              <w:top w:w="150" w:type="dxa"/>
              <w:left w:w="225" w:type="dxa"/>
              <w:bottom w:w="150" w:type="dxa"/>
              <w:right w:w="150" w:type="dxa"/>
            </w:tcMar>
            <w:hideMark/>
          </w:tcPr>
          <w:p w:rsidR="004712EF" w:rsidRPr="005858E4" w:rsidRDefault="00E377B4" w:rsidP="005858E4">
            <w:pPr>
              <w:jc w:val="both"/>
              <w:rPr>
                <w:rFonts w:ascii="Times New Roman" w:hAnsi="Times New Roman" w:cs="Times New Roman"/>
              </w:rPr>
            </w:pPr>
            <w:r w:rsidRPr="005858E4">
              <w:rPr>
                <w:rFonts w:ascii="Times New Roman" w:hAnsi="Times New Roman" w:cs="Times New Roman"/>
                <w:b/>
                <w:bCs/>
              </w:rPr>
              <w:t xml:space="preserve"> </w:t>
            </w:r>
            <w:r w:rsidR="004712EF" w:rsidRPr="005858E4">
              <w:rPr>
                <w:rFonts w:ascii="Times New Roman" w:hAnsi="Times New Roman" w:cs="Times New Roman"/>
                <w:b/>
              </w:rPr>
              <w:t>Викладацька діяльність</w:t>
            </w:r>
            <w:r w:rsidR="004712EF" w:rsidRPr="005858E4">
              <w:rPr>
                <w:rFonts w:ascii="Times New Roman" w:hAnsi="Times New Roman" w:cs="Times New Roman"/>
              </w:rPr>
              <w:t xml:space="preserve">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w:t>
            </w:r>
            <w:r w:rsidR="004712EF" w:rsidRPr="005858E4">
              <w:rPr>
                <w:rFonts w:ascii="Times New Roman" w:hAnsi="Times New Roman" w:cs="Times New Roman"/>
              </w:rPr>
              <w:lastRenderedPageBreak/>
              <w:t>викладацької діяльності заборонена законом) або іншою фізичною особою на основі відповідного трудового або цивільно-правового договору (п. 4 ч. 1 ст. 1 Закону України «Про освіту»).</w:t>
            </w:r>
          </w:p>
        </w:tc>
      </w:tr>
    </w:tbl>
    <w:p w:rsidR="004712EF" w:rsidRPr="005858E4" w:rsidRDefault="004712EF" w:rsidP="00E377B4">
      <w:pPr>
        <w:jc w:val="both"/>
        <w:rPr>
          <w:rFonts w:ascii="Times New Roman" w:hAnsi="Times New Roman" w:cs="Times New Roman"/>
        </w:rPr>
      </w:pPr>
      <w:r w:rsidRPr="005858E4">
        <w:rPr>
          <w:rFonts w:ascii="Times New Roman" w:hAnsi="Times New Roman" w:cs="Times New Roman"/>
        </w:rPr>
        <w:lastRenderedPageBreak/>
        <w:t>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До викладацької діяльності належить діяльність із такими ознаками:</w:t>
      </w:r>
    </w:p>
    <w:p w:rsidR="004712EF" w:rsidRPr="005858E4" w:rsidRDefault="004712EF" w:rsidP="00E377B4">
      <w:pPr>
        <w:numPr>
          <w:ilvl w:val="0"/>
          <w:numId w:val="2"/>
        </w:numPr>
        <w:jc w:val="both"/>
        <w:rPr>
          <w:rFonts w:ascii="Times New Roman" w:hAnsi="Times New Roman" w:cs="Times New Roman"/>
        </w:rPr>
      </w:pPr>
      <w:r w:rsidRPr="005858E4">
        <w:rPr>
          <w:rFonts w:ascii="Times New Roman" w:hAnsi="Times New Roman" w:cs="Times New Roman"/>
        </w:rPr>
        <w:t>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w:t>
      </w:r>
    </w:p>
    <w:p w:rsidR="004712EF" w:rsidRPr="005858E4" w:rsidRDefault="004712EF" w:rsidP="00E377B4">
      <w:pPr>
        <w:numPr>
          <w:ilvl w:val="0"/>
          <w:numId w:val="2"/>
        </w:numPr>
        <w:jc w:val="both"/>
        <w:rPr>
          <w:rFonts w:ascii="Times New Roman" w:hAnsi="Times New Roman" w:cs="Times New Roman"/>
        </w:rPr>
      </w:pPr>
      <w:r w:rsidRPr="005858E4">
        <w:rPr>
          <w:rFonts w:ascii="Times New Roman" w:hAnsi="Times New Roman" w:cs="Times New Roman"/>
        </w:rPr>
        <w:t>суб’єктом здійснення відповідної діяльності є педагогічний (науково</w:t>
      </w:r>
      <w:r w:rsidR="00E377B4" w:rsidRPr="005858E4">
        <w:rPr>
          <w:rFonts w:ascii="Times New Roman" w:hAnsi="Times New Roman" w:cs="Times New Roman"/>
        </w:rPr>
        <w:t xml:space="preserve"> </w:t>
      </w:r>
      <w:r w:rsidRPr="005858E4">
        <w:rPr>
          <w:rFonts w:ascii="Times New Roman" w:hAnsi="Times New Roman" w:cs="Times New Roman"/>
        </w:rPr>
        <w:t>педагогічний) працівник, самозайнята особа (крім осіб, яким така форма викладацької діяльності заборонена законом) або інша фізична особа на основі відповідного трудового або цивільно-правового договору;</w:t>
      </w:r>
    </w:p>
    <w:p w:rsidR="004712EF" w:rsidRPr="005858E4" w:rsidRDefault="004712EF" w:rsidP="00E377B4">
      <w:pPr>
        <w:numPr>
          <w:ilvl w:val="0"/>
          <w:numId w:val="2"/>
        </w:numPr>
        <w:jc w:val="both"/>
        <w:rPr>
          <w:rFonts w:ascii="Times New Roman" w:hAnsi="Times New Roman" w:cs="Times New Roman"/>
        </w:rPr>
      </w:pPr>
      <w:r w:rsidRPr="005858E4">
        <w:rPr>
          <w:rFonts w:ascii="Times New Roman" w:hAnsi="Times New Roman" w:cs="Times New Roman"/>
        </w:rPr>
        <w:t>правовою підставою здійснення такої діяльності є трудовий або цивільно-правовий договір;</w:t>
      </w:r>
    </w:p>
    <w:p w:rsidR="004712EF" w:rsidRPr="005858E4" w:rsidRDefault="004712EF" w:rsidP="00E377B4">
      <w:pPr>
        <w:numPr>
          <w:ilvl w:val="0"/>
          <w:numId w:val="2"/>
        </w:numPr>
        <w:jc w:val="both"/>
        <w:rPr>
          <w:rFonts w:ascii="Times New Roman" w:hAnsi="Times New Roman" w:cs="Times New Roman"/>
        </w:rPr>
      </w:pPr>
      <w:r w:rsidRPr="005858E4">
        <w:rPr>
          <w:rFonts w:ascii="Times New Roman" w:hAnsi="Times New Roman" w:cs="Times New Roman"/>
        </w:rPr>
        <w:t>суб’єкт, на якого спрямована відповідна діяльність, є здобувачем освіти в розумінні закону.</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b/>
          <w:bCs/>
        </w:rPr>
        <w:t>Важливо. </w:t>
      </w:r>
      <w:r w:rsidRPr="005858E4">
        <w:rPr>
          <w:rFonts w:ascii="Times New Roman" w:hAnsi="Times New Roman" w:cs="Times New Roman"/>
        </w:rPr>
        <w:t>Ураховуючи зміст наведеного визначення, а також закріплені у законодавстві різні види освіти (ст. 8 Закону України «Про освіту») та форми її здобуття (ст. 9 Закону України «Про освіту»), викладацьку діяльність можуть здійснювати не тільки заклади освіти (юридичні особи приватного чи публічного права та фізичні особи – підприємці) та їх педагогічні чи</w:t>
      </w:r>
      <w:r w:rsidR="00E377B4" w:rsidRPr="005858E4">
        <w:rPr>
          <w:rFonts w:ascii="Times New Roman" w:hAnsi="Times New Roman" w:cs="Times New Roman"/>
        </w:rPr>
        <w:t xml:space="preserve"> </w:t>
      </w:r>
      <w:r w:rsidRPr="005858E4">
        <w:rPr>
          <w:rFonts w:ascii="Times New Roman" w:hAnsi="Times New Roman" w:cs="Times New Roman"/>
        </w:rPr>
        <w:t>науково-педагогічні працівники, а й будь-яка фізична особа. При цьому така діяльність може здійснюватись, у тому числі, як репетиторство, читання лекцій, проведення тренінгів, семінарів тощо.</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b/>
          <w:bCs/>
        </w:rPr>
        <w:t>Важливо.</w:t>
      </w:r>
      <w:r w:rsidRPr="005858E4">
        <w:rPr>
          <w:rFonts w:ascii="Times New Roman" w:hAnsi="Times New Roman" w:cs="Times New Roman"/>
        </w:rPr>
        <w:t> Звертаємо увагу, що викладацька діяльність не може здійснюватися на користь юридичних осіб, оскільки такі особи не є здобувачами освіти (п. 8 ч. 1 ст. 1 Закону України «Про освіту»).</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Відповідно до ст. 5 Закону України «Про наукову і науково-технічну діяльність» основним суб’єктом наукової і науково-технічної діяльності є вчений.</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Вченим є будь-яка фізична особа, яка, у тому числі, проводить фундаментальні та (або) прикладні наукові дослідження (п. 4 ч. 1 ст. 1 Закону України «Про наукову і науково-технічну діяльність»).</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i/>
          <w:iCs/>
        </w:rPr>
        <w:t>Наукова діяльність вченого не обмежується діяльністю у наукових установах, закладах вищої освіти, наукових підрозділах установ, організацій, підприємств.</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b/>
          <w:bCs/>
        </w:rPr>
        <w:t>Науковою діяльністю однозначно є діяльність</w:t>
      </w:r>
      <w:r w:rsidRPr="005858E4">
        <w:rPr>
          <w:rFonts w:ascii="Times New Roman" w:hAnsi="Times New Roman" w:cs="Times New Roman"/>
        </w:rPr>
        <w:t>, час зайняття якою зараховується до стажу наукової роботи відповідно до ст. 35 Закону України «Про наукову і науково-технічну діяльність». В інших випадках науковою діяльністю можна вважати діяльність, зміст якої відповідає визначенням фундаментального та прикладного наукового дослідження.</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Громадянам гарантується свобода літературної, художньої, наукової та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Кожний громадянин має право на результати своєї інтелектуальної, творчої діяльності (ст. 54 Конституції України).</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Наявні нормативні визначення (п. 21 ч. 1 ст. 1 Зак</w:t>
      </w:r>
      <w:r w:rsidR="00243277">
        <w:rPr>
          <w:rFonts w:ascii="Times New Roman" w:hAnsi="Times New Roman" w:cs="Times New Roman"/>
        </w:rPr>
        <w:t xml:space="preserve">ону України «Про культуру», абзац </w:t>
      </w:r>
      <w:r w:rsidRPr="005858E4">
        <w:rPr>
          <w:rFonts w:ascii="Times New Roman" w:hAnsi="Times New Roman" w:cs="Times New Roman"/>
        </w:rPr>
        <w:t xml:space="preserve"> 4 ст. 1 Закону України «Про професійних творчих працівників та творчі спілки») дають підстави для виділення таких ознак творчої діяльності:</w:t>
      </w:r>
    </w:p>
    <w:p w:rsidR="004712EF" w:rsidRPr="005858E4" w:rsidRDefault="004712EF" w:rsidP="00E377B4">
      <w:pPr>
        <w:numPr>
          <w:ilvl w:val="0"/>
          <w:numId w:val="3"/>
        </w:numPr>
        <w:jc w:val="both"/>
        <w:rPr>
          <w:rFonts w:ascii="Times New Roman" w:hAnsi="Times New Roman" w:cs="Times New Roman"/>
        </w:rPr>
      </w:pPr>
      <w:r w:rsidRPr="005858E4">
        <w:rPr>
          <w:rFonts w:ascii="Times New Roman" w:hAnsi="Times New Roman" w:cs="Times New Roman"/>
        </w:rPr>
        <w:t>індивідуальна/колективна творчість;</w:t>
      </w:r>
    </w:p>
    <w:p w:rsidR="004712EF" w:rsidRPr="005858E4" w:rsidRDefault="004712EF" w:rsidP="00E377B4">
      <w:pPr>
        <w:numPr>
          <w:ilvl w:val="0"/>
          <w:numId w:val="3"/>
        </w:numPr>
        <w:jc w:val="both"/>
        <w:rPr>
          <w:rFonts w:ascii="Times New Roman" w:hAnsi="Times New Roman" w:cs="Times New Roman"/>
        </w:rPr>
      </w:pPr>
      <w:r w:rsidRPr="005858E4">
        <w:rPr>
          <w:rFonts w:ascii="Times New Roman" w:hAnsi="Times New Roman" w:cs="Times New Roman"/>
        </w:rPr>
        <w:t>твір або його інтерпретація як результат творчості;</w:t>
      </w:r>
    </w:p>
    <w:p w:rsidR="004712EF" w:rsidRPr="005858E4" w:rsidRDefault="004712EF" w:rsidP="004712EF">
      <w:pPr>
        <w:numPr>
          <w:ilvl w:val="0"/>
          <w:numId w:val="3"/>
        </w:numPr>
        <w:rPr>
          <w:rFonts w:ascii="Times New Roman" w:hAnsi="Times New Roman" w:cs="Times New Roman"/>
        </w:rPr>
      </w:pPr>
      <w:r w:rsidRPr="005858E4">
        <w:rPr>
          <w:rFonts w:ascii="Times New Roman" w:hAnsi="Times New Roman" w:cs="Times New Roman"/>
        </w:rPr>
        <w:t>культурна цінність твору/інтерпретації твору, що є результатом творчості.</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За позицією Національного агентства саме створений твір чи його інтерпретація є визначальною ознакою творчої діяльності. При цьому, з огляду на наведені визначення творчої діяльності, її результатом можуть бути твір/інтерпретація твору, що мають культурну цінність (термін «культурні цінності» вживається у значенні, наведеному у Законі України «Про вивезення, ввезення та повернення культурних цінностей»).</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Приблизний перелік творів як об’єктів авторського права наведено у ст. 8 Закону України «Про авторське право і суміжні права»:</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lastRenderedPageBreak/>
        <w:t>літературні письмові твори белетристичного, публіцистичного, наукового, технічного або іншого характеру (книги, брошури, статті тощо);</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виступи, лекції, промови, проповіді та інші усні твори;</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комп’ютерні програми, бази даних;</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музичні твори з текстом і без тексту;</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драматичні, музично-драматичні твори, пантоміми, хореографічні та інші твори, створені для сценічного показу, та їх постановки;</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аудіовізуальні твори;</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твори образотворчого мистецтва;</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твори архітектури, містобудування і садово-паркового мистецтва;</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фотографічні твори, у тому числі твори, виконані способами, подібними до фотографії;</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 xml:space="preserve">твори ужиткового мистецтва, у тому числі твори декоративного ткацтва, кераміки, різьблення, </w:t>
      </w:r>
      <w:proofErr w:type="spellStart"/>
      <w:r w:rsidRPr="005858E4">
        <w:rPr>
          <w:rFonts w:ascii="Times New Roman" w:hAnsi="Times New Roman" w:cs="Times New Roman"/>
        </w:rPr>
        <w:t>ливарства</w:t>
      </w:r>
      <w:proofErr w:type="spellEnd"/>
      <w:r w:rsidRPr="005858E4">
        <w:rPr>
          <w:rFonts w:ascii="Times New Roman" w:hAnsi="Times New Roman" w:cs="Times New Roman"/>
        </w:rPr>
        <w:t>, з художнього скла, ювелірні вироби тощо;</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ілюстрації, карти, плани, креслення, ескізи, пластичні твори, що стосуються географії, геології, топографії, техніки, архітектури та інших сфер діяльності;</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сценічні обробки творів і обробки фольклору, придатні для сценічного показу;</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похідні твори;</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збірники творів, збірники обробок фольклору, енциклопедії та антології, збірники звичайних даних, інші складені твори за умови, що вони є результатом творчої праці за добором, координацією або упорядкуванням змісту без порушення авторських прав на твори, що входять до них як складові частини;</w:t>
      </w:r>
    </w:p>
    <w:p w:rsidR="004712EF" w:rsidRPr="005858E4" w:rsidRDefault="004712EF" w:rsidP="005858E4">
      <w:pPr>
        <w:pStyle w:val="a3"/>
        <w:ind w:firstLine="284"/>
        <w:jc w:val="both"/>
        <w:rPr>
          <w:rFonts w:ascii="Times New Roman" w:hAnsi="Times New Roman" w:cs="Times New Roman"/>
        </w:rPr>
      </w:pPr>
      <w:r w:rsidRPr="005858E4">
        <w:rPr>
          <w:rFonts w:ascii="Times New Roman" w:hAnsi="Times New Roman" w:cs="Times New Roman"/>
        </w:rPr>
        <w:t>тексти перекладів для дублювання, озвучення, субтитрування українською та іншими мовами іноземних аудіовізуальних творів;</w:t>
      </w:r>
    </w:p>
    <w:p w:rsidR="004712EF" w:rsidRPr="005858E4" w:rsidRDefault="004712EF" w:rsidP="005858E4">
      <w:pPr>
        <w:pStyle w:val="a3"/>
        <w:ind w:firstLine="284"/>
        <w:rPr>
          <w:rFonts w:ascii="Times New Roman" w:hAnsi="Times New Roman" w:cs="Times New Roman"/>
        </w:rPr>
      </w:pPr>
      <w:r w:rsidRPr="005858E4">
        <w:rPr>
          <w:rFonts w:ascii="Times New Roman" w:hAnsi="Times New Roman" w:cs="Times New Roman"/>
        </w:rPr>
        <w:t>інші твори.</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Наведений у ст. 1 Закону України «Про вивезення, ввезення та повернення культурних цінностей» перелік культурних цінностей не відповідає характеристикам більшості творів, які є об’єктами авторського права, а тому культурну цінність твору/інтерпретації твору як результату творчості на сьогодні неможливо враховувати як обов’язкову ознаку творчої діяльності.</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Крім того, відповідно до ст. 7 Закону України «Про культуру» свобода творчості передбачає право провадити творчу діяльність як на професійній, так і на аматорській основі.</w:t>
      </w:r>
    </w:p>
    <w:p w:rsidR="008F6DA6" w:rsidRPr="005858E4" w:rsidRDefault="004712EF" w:rsidP="00E377B4">
      <w:pPr>
        <w:jc w:val="both"/>
        <w:rPr>
          <w:rFonts w:ascii="Times New Roman" w:hAnsi="Times New Roman" w:cs="Times New Roman"/>
        </w:rPr>
      </w:pPr>
      <w:r w:rsidRPr="005858E4">
        <w:rPr>
          <w:rFonts w:ascii="Times New Roman" w:hAnsi="Times New Roman" w:cs="Times New Roman"/>
          <w:b/>
        </w:rPr>
        <w:t>Медична практика</w:t>
      </w:r>
      <w:r w:rsidRPr="005858E4">
        <w:rPr>
          <w:rFonts w:ascii="Times New Roman" w:hAnsi="Times New Roman" w:cs="Times New Roman"/>
        </w:rPr>
        <w:t xml:space="preserve"> — це вид господарської діяльності у сфері охорони здоров’я, який провадиться закладами охорони здоров’я та фізичними особами-підприємцями з метою надання медичної допомоги та медичного обслуговування на підставі ліцензії (ліцензійні умови провадження господарської діяльності з медичної практики затверджені постановою Кабінету Міністрів України від 02.03.2016 № 285).</w:t>
      </w:r>
    </w:p>
    <w:p w:rsidR="004712EF" w:rsidRPr="005858E4" w:rsidRDefault="004712EF" w:rsidP="00E377B4">
      <w:pPr>
        <w:jc w:val="both"/>
        <w:rPr>
          <w:rFonts w:ascii="Times New Roman" w:hAnsi="Times New Roman" w:cs="Times New Roman"/>
          <w:i/>
          <w:iCs/>
        </w:rPr>
      </w:pPr>
      <w:r w:rsidRPr="005858E4">
        <w:rPr>
          <w:rFonts w:ascii="Times New Roman" w:hAnsi="Times New Roman" w:cs="Times New Roman"/>
        </w:rPr>
        <w:t>Водночас у контексті антикорупційного законодавства йдеться не про господарську чи підприємницьку діяльність зі здійснення медичної практики, а про </w:t>
      </w:r>
      <w:r w:rsidRPr="005858E4">
        <w:rPr>
          <w:rFonts w:ascii="Times New Roman" w:hAnsi="Times New Roman" w:cs="Times New Roman"/>
          <w:i/>
          <w:iCs/>
        </w:rPr>
        <w:t>можливість зайняття такою практикою в державних, комунальних чи приватних закладах охорони здоров’я та у ФОП (які здійснюють свою діяльність на підставі ліцензії).</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b/>
        </w:rPr>
        <w:t>Спортивні судді</w:t>
      </w:r>
      <w:r w:rsidRPr="005858E4">
        <w:rPr>
          <w:rFonts w:ascii="Times New Roman" w:hAnsi="Times New Roman" w:cs="Times New Roman"/>
        </w:rPr>
        <w:t xml:space="preserve"> – це фізичні особи, які пройшли спеціальну підготовку та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 (ч. 1 ст. 41 Закону України «Про фізичну культуру і спорт»).</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Довідник кваліфікаційних характеристик професій працівників сфери фізичної культури і спорту, випуск 85 «Спортивна діяльність» затверджений наказом Міністерства молоді та спорту України від 28.10.2016 № 4080.</w:t>
      </w:r>
    </w:p>
    <w:p w:rsidR="004712EF" w:rsidRPr="005858E4" w:rsidRDefault="004712EF" w:rsidP="00E377B4">
      <w:pPr>
        <w:jc w:val="both"/>
        <w:rPr>
          <w:rFonts w:ascii="Times New Roman" w:hAnsi="Times New Roman" w:cs="Times New Roman"/>
        </w:rPr>
      </w:pPr>
      <w:r w:rsidRPr="005858E4">
        <w:rPr>
          <w:rFonts w:ascii="Times New Roman" w:hAnsi="Times New Roman" w:cs="Times New Roman"/>
        </w:rPr>
        <w:t>До фахівців у сфері фізичної культури та спорту належить суддя з виду спорту.</w:t>
      </w:r>
    </w:p>
    <w:p w:rsidR="004712EF" w:rsidRPr="005858E4" w:rsidRDefault="004712EF" w:rsidP="005858E4">
      <w:pPr>
        <w:jc w:val="both"/>
        <w:rPr>
          <w:rFonts w:ascii="Times New Roman" w:hAnsi="Times New Roman" w:cs="Times New Roman"/>
        </w:rPr>
      </w:pPr>
      <w:r w:rsidRPr="005858E4">
        <w:rPr>
          <w:rFonts w:ascii="Times New Roman" w:hAnsi="Times New Roman" w:cs="Times New Roman"/>
        </w:rPr>
        <w:t>Основними завданнями та обов’язками судді з виду спорту визначено:</w:t>
      </w:r>
    </w:p>
    <w:p w:rsidR="004712EF" w:rsidRPr="005858E4" w:rsidRDefault="004712EF" w:rsidP="005858E4">
      <w:pPr>
        <w:pStyle w:val="a3"/>
        <w:ind w:firstLine="426"/>
        <w:jc w:val="both"/>
        <w:rPr>
          <w:rFonts w:ascii="Times New Roman" w:hAnsi="Times New Roman" w:cs="Times New Roman"/>
        </w:rPr>
      </w:pPr>
      <w:r w:rsidRPr="005858E4">
        <w:rPr>
          <w:rFonts w:ascii="Times New Roman" w:hAnsi="Times New Roman" w:cs="Times New Roman"/>
        </w:rPr>
        <w:t>участь у впровадженні системи взаємозв’язків, застосування і підтримка її відповідно до встановлених вимог і порядку, які забезпечують координацію внутрішньої управлінської діяльності між керівником федерації, президією, виконкомом, членами федерації, а також систему взаємовідносин керівника федерації з представниками інших організацій;</w:t>
      </w:r>
    </w:p>
    <w:p w:rsidR="004712EF" w:rsidRPr="005858E4" w:rsidRDefault="004712EF" w:rsidP="005858E4">
      <w:pPr>
        <w:pStyle w:val="a3"/>
        <w:ind w:firstLine="426"/>
        <w:jc w:val="both"/>
        <w:rPr>
          <w:rFonts w:ascii="Times New Roman" w:hAnsi="Times New Roman" w:cs="Times New Roman"/>
        </w:rPr>
      </w:pPr>
      <w:r w:rsidRPr="005858E4">
        <w:rPr>
          <w:rFonts w:ascii="Times New Roman" w:hAnsi="Times New Roman" w:cs="Times New Roman"/>
        </w:rPr>
        <w:t>організація роботи щодо виконання рішень керівних органів федерації, які стосуються завдань, визначених статутом, та інших питань, що не суперечать статутній діяльності федерації;</w:t>
      </w:r>
    </w:p>
    <w:p w:rsidR="004712EF" w:rsidRPr="005858E4" w:rsidRDefault="004712EF" w:rsidP="005858E4">
      <w:pPr>
        <w:pStyle w:val="a3"/>
        <w:ind w:firstLine="426"/>
        <w:jc w:val="both"/>
        <w:rPr>
          <w:rFonts w:ascii="Times New Roman" w:hAnsi="Times New Roman" w:cs="Times New Roman"/>
        </w:rPr>
      </w:pPr>
      <w:r w:rsidRPr="005858E4">
        <w:rPr>
          <w:rFonts w:ascii="Times New Roman" w:hAnsi="Times New Roman" w:cs="Times New Roman"/>
        </w:rPr>
        <w:t>доведення до відома всіх зацікавлених служб, сторонніх організацій та окремих осіб змісту протоколів та прийнятих рішень;</w:t>
      </w:r>
    </w:p>
    <w:p w:rsidR="004712EF" w:rsidRPr="005858E4" w:rsidRDefault="004712EF" w:rsidP="005858E4">
      <w:pPr>
        <w:pStyle w:val="a3"/>
        <w:ind w:firstLine="426"/>
        <w:jc w:val="both"/>
        <w:rPr>
          <w:rFonts w:ascii="Times New Roman" w:hAnsi="Times New Roman" w:cs="Times New Roman"/>
        </w:rPr>
      </w:pPr>
      <w:r w:rsidRPr="005858E4">
        <w:rPr>
          <w:rFonts w:ascii="Times New Roman" w:hAnsi="Times New Roman" w:cs="Times New Roman"/>
        </w:rPr>
        <w:t>обробка інформації, аналіз, ведення та зберігання поточних документів, протоколів засідань керівних органів федерації, постійних та тимчасових комітетів, інших документів федерації;</w:t>
      </w:r>
    </w:p>
    <w:p w:rsidR="004712EF" w:rsidRPr="005858E4" w:rsidRDefault="004712EF" w:rsidP="005858E4">
      <w:pPr>
        <w:pStyle w:val="a3"/>
        <w:ind w:firstLine="426"/>
        <w:jc w:val="both"/>
        <w:rPr>
          <w:rFonts w:ascii="Times New Roman" w:hAnsi="Times New Roman" w:cs="Times New Roman"/>
        </w:rPr>
      </w:pPr>
      <w:r w:rsidRPr="005858E4">
        <w:rPr>
          <w:rFonts w:ascii="Times New Roman" w:hAnsi="Times New Roman" w:cs="Times New Roman"/>
        </w:rPr>
        <w:t>забезпечення інформаційного зв’язку між федерацією та її членами, іншими організаціями;</w:t>
      </w:r>
    </w:p>
    <w:p w:rsidR="004712EF" w:rsidRPr="005858E4" w:rsidRDefault="004712EF" w:rsidP="005858E4">
      <w:pPr>
        <w:pStyle w:val="a3"/>
        <w:ind w:firstLine="426"/>
        <w:jc w:val="both"/>
        <w:rPr>
          <w:rFonts w:ascii="Times New Roman" w:hAnsi="Times New Roman" w:cs="Times New Roman"/>
        </w:rPr>
      </w:pPr>
      <w:r w:rsidRPr="005858E4">
        <w:rPr>
          <w:rFonts w:ascii="Times New Roman" w:hAnsi="Times New Roman" w:cs="Times New Roman"/>
        </w:rPr>
        <w:lastRenderedPageBreak/>
        <w:t>підготовка проєктів розпорядчої документації, адміністративної та іншої кореспонденції: запитів, звернень, відповідей на листи, повідомлень тощо;</w:t>
      </w:r>
    </w:p>
    <w:p w:rsidR="004712EF" w:rsidRPr="005858E4" w:rsidRDefault="004712EF" w:rsidP="005858E4">
      <w:pPr>
        <w:pStyle w:val="a3"/>
        <w:ind w:firstLine="426"/>
        <w:jc w:val="both"/>
        <w:rPr>
          <w:rFonts w:ascii="Times New Roman" w:hAnsi="Times New Roman" w:cs="Times New Roman"/>
        </w:rPr>
      </w:pPr>
      <w:r w:rsidRPr="005858E4">
        <w:rPr>
          <w:rFonts w:ascii="Times New Roman" w:hAnsi="Times New Roman" w:cs="Times New Roman"/>
        </w:rPr>
        <w:t>виконання протокольних записів на зустрічах, засіданнях, нарадах тощо;</w:t>
      </w:r>
    </w:p>
    <w:p w:rsidR="004712EF" w:rsidRPr="005858E4" w:rsidRDefault="004712EF" w:rsidP="005858E4">
      <w:pPr>
        <w:pStyle w:val="a3"/>
        <w:ind w:firstLine="426"/>
        <w:jc w:val="both"/>
        <w:rPr>
          <w:rFonts w:ascii="Times New Roman" w:hAnsi="Times New Roman" w:cs="Times New Roman"/>
        </w:rPr>
      </w:pPr>
      <w:r w:rsidRPr="005858E4">
        <w:rPr>
          <w:rFonts w:ascii="Times New Roman" w:hAnsi="Times New Roman" w:cs="Times New Roman"/>
        </w:rPr>
        <w:t>реєстрація звернень і заяв членів федерації, організація їх прийому (зустрічі) з керівником федерації;</w:t>
      </w:r>
    </w:p>
    <w:p w:rsidR="004712EF" w:rsidRPr="005858E4" w:rsidRDefault="004712EF" w:rsidP="005858E4">
      <w:pPr>
        <w:numPr>
          <w:ilvl w:val="0"/>
          <w:numId w:val="5"/>
        </w:numPr>
        <w:jc w:val="both"/>
        <w:rPr>
          <w:rFonts w:ascii="Times New Roman" w:hAnsi="Times New Roman" w:cs="Times New Roman"/>
        </w:rPr>
      </w:pPr>
      <w:r w:rsidRPr="005858E4">
        <w:rPr>
          <w:rFonts w:ascii="Times New Roman" w:hAnsi="Times New Roman" w:cs="Times New Roman"/>
        </w:rPr>
        <w:t>підвищення професійної кваліфікації згідно з вимогами законодавства.</w:t>
      </w:r>
    </w:p>
    <w:p w:rsidR="004712EF" w:rsidRPr="005858E4" w:rsidRDefault="004712EF" w:rsidP="005858E4">
      <w:pPr>
        <w:jc w:val="both"/>
        <w:rPr>
          <w:rFonts w:ascii="Times New Roman" w:hAnsi="Times New Roman" w:cs="Times New Roman"/>
        </w:rPr>
      </w:pPr>
      <w:r w:rsidRPr="005858E4">
        <w:rPr>
          <w:rFonts w:ascii="Times New Roman" w:hAnsi="Times New Roman" w:cs="Times New Roman"/>
        </w:rPr>
        <w:t>Різновиди посад інструкторів, діяльність яких є спортивною:</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інструктор з фізкультури;</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інструктор-методист з альпінізму;</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інструктор-методист з виробничої гімнастики;</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інструктор-методист з туризму;</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інструктор-методист з фізичної культури та спорту;</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інструктор-методист спортивної школи;</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інструктор-методист тренажерного комплексу (залу);</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інструктор навчально-тренувального пункту;</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спортсмен-інструктор;</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спортсмен-інструктор збірної команди України тощо.</w:t>
      </w:r>
    </w:p>
    <w:p w:rsidR="004712EF" w:rsidRPr="00243277" w:rsidRDefault="004712EF" w:rsidP="005858E4">
      <w:pPr>
        <w:pStyle w:val="a3"/>
        <w:ind w:firstLine="567"/>
        <w:rPr>
          <w:rFonts w:ascii="Times New Roman" w:hAnsi="Times New Roman" w:cs="Times New Roman"/>
        </w:rPr>
      </w:pPr>
      <w:r w:rsidRPr="00243277">
        <w:rPr>
          <w:rFonts w:ascii="Times New Roman" w:hAnsi="Times New Roman" w:cs="Times New Roman"/>
        </w:rPr>
        <w:t>До обов’язків інструкторів зі спорту, як правило, належать:</w:t>
      </w:r>
    </w:p>
    <w:p w:rsidR="004712EF" w:rsidRPr="005858E4" w:rsidRDefault="004712EF" w:rsidP="00793794">
      <w:pPr>
        <w:numPr>
          <w:ilvl w:val="0"/>
          <w:numId w:val="7"/>
        </w:numPr>
        <w:jc w:val="both"/>
        <w:rPr>
          <w:rFonts w:ascii="Times New Roman" w:hAnsi="Times New Roman" w:cs="Times New Roman"/>
        </w:rPr>
      </w:pPr>
      <w:r w:rsidRPr="005858E4">
        <w:rPr>
          <w:rFonts w:ascii="Times New Roman" w:hAnsi="Times New Roman" w:cs="Times New Roman"/>
        </w:rPr>
        <w:t>методичне забезпечення та організація навчально-тренувальної роботи, контроль за комплектуванням спортивних груп, змістом та результатами навчально-тренувальної роботи, робота з підвищення кваліфікації тренерів-викладачів, проведення відкритих навчально-тренувальних занять;</w:t>
      </w:r>
    </w:p>
    <w:p w:rsidR="004712EF" w:rsidRPr="005858E4" w:rsidRDefault="004712EF" w:rsidP="00793794">
      <w:pPr>
        <w:numPr>
          <w:ilvl w:val="0"/>
          <w:numId w:val="7"/>
        </w:numPr>
        <w:jc w:val="both"/>
        <w:rPr>
          <w:rFonts w:ascii="Times New Roman" w:hAnsi="Times New Roman" w:cs="Times New Roman"/>
        </w:rPr>
      </w:pPr>
      <w:r w:rsidRPr="005858E4">
        <w:rPr>
          <w:rFonts w:ascii="Times New Roman" w:hAnsi="Times New Roman" w:cs="Times New Roman"/>
        </w:rPr>
        <w:t>статистичний облік та аналіз результатів роботи спортивної школи, відділення, груп;</w:t>
      </w:r>
    </w:p>
    <w:p w:rsidR="004712EF" w:rsidRPr="005858E4" w:rsidRDefault="004712EF" w:rsidP="00793794">
      <w:pPr>
        <w:numPr>
          <w:ilvl w:val="0"/>
          <w:numId w:val="7"/>
        </w:numPr>
        <w:jc w:val="both"/>
        <w:rPr>
          <w:rFonts w:ascii="Times New Roman" w:hAnsi="Times New Roman" w:cs="Times New Roman"/>
        </w:rPr>
      </w:pPr>
      <w:r w:rsidRPr="005858E4">
        <w:rPr>
          <w:rFonts w:ascii="Times New Roman" w:hAnsi="Times New Roman" w:cs="Times New Roman"/>
        </w:rPr>
        <w:t>контроль за проведенням навчально-тренувальних занять, виконанням програм з видів спорту, навчальних планів, складення й додержання розкладу занять (Положення про дитячо-юнацьку спортивну школу, затверджене постановою Кабінету Міністрів України від 05.11.2008 № 993, Типові штатні нормативи дитячо-юнацьких спортивних шкіл, затверджені наказом Міністерства молоді та спорту України від 30.07.2013 № 37, зареєстровані в Міністерстві юстиції України 09.08.2013 за № 1361/23893).</w:t>
      </w:r>
    </w:p>
    <w:p w:rsidR="004712EF" w:rsidRPr="005858E4" w:rsidRDefault="004712EF" w:rsidP="00793794">
      <w:pPr>
        <w:jc w:val="both"/>
        <w:rPr>
          <w:rFonts w:ascii="Times New Roman" w:hAnsi="Times New Roman" w:cs="Times New Roman"/>
        </w:rPr>
      </w:pPr>
      <w:r w:rsidRPr="005858E4">
        <w:rPr>
          <w:rFonts w:ascii="Times New Roman" w:hAnsi="Times New Roman" w:cs="Times New Roman"/>
        </w:rPr>
        <w:t>Для уникнення будь-яких підозр стосовно можливого порушення вимог щодо суміщення та сумісництва при перебуванні у статусі особи, уповноваженої на виконання функцій держави/місцевого самоврядування (п. 1 ч. 1 ст. 3 Закону), припиняти підприємницьку діяльність ФОП у порядку, визначеному Законом України «Про державну реєстрацію юридичних осіб, фізичних осіб-підприємців та громадських формувань».</w:t>
      </w:r>
    </w:p>
    <w:p w:rsidR="004712EF" w:rsidRPr="005858E4" w:rsidRDefault="004712EF" w:rsidP="00207A78">
      <w:pPr>
        <w:jc w:val="both"/>
        <w:rPr>
          <w:rFonts w:ascii="Times New Roman" w:hAnsi="Times New Roman" w:cs="Times New Roman"/>
          <w:b/>
        </w:rPr>
      </w:pPr>
      <w:r w:rsidRPr="005858E4">
        <w:rPr>
          <w:rFonts w:ascii="Times New Roman" w:hAnsi="Times New Roman" w:cs="Times New Roman"/>
          <w:b/>
        </w:rPr>
        <w:t>Державний службовець є донором крові та отримав плату за здачу крові.</w:t>
      </w:r>
    </w:p>
    <w:p w:rsidR="004712EF" w:rsidRPr="005858E4" w:rsidRDefault="004712EF" w:rsidP="00207A78">
      <w:pPr>
        <w:numPr>
          <w:ilvl w:val="0"/>
          <w:numId w:val="8"/>
        </w:numPr>
        <w:jc w:val="both"/>
        <w:rPr>
          <w:rFonts w:ascii="Times New Roman" w:hAnsi="Times New Roman" w:cs="Times New Roman"/>
        </w:rPr>
      </w:pPr>
      <w:r w:rsidRPr="005858E4">
        <w:rPr>
          <w:rFonts w:ascii="Times New Roman" w:hAnsi="Times New Roman" w:cs="Times New Roman"/>
        </w:rPr>
        <w:t>донорство крові та її компонентів – добровільний акт волевиявлення людини, що полягає у даванні крові або її компонентів для подальшого безпосереднього використання їх для лікування, виготовлення відповідних лікарських препаратів або використання у наукових дослідженнях</w:t>
      </w:r>
      <w:r w:rsidR="00793794" w:rsidRPr="005858E4">
        <w:rPr>
          <w:rFonts w:ascii="Times New Roman" w:hAnsi="Times New Roman" w:cs="Times New Roman"/>
        </w:rPr>
        <w:t xml:space="preserve">                                        </w:t>
      </w:r>
      <w:r w:rsidRPr="005858E4">
        <w:rPr>
          <w:rFonts w:ascii="Times New Roman" w:hAnsi="Times New Roman" w:cs="Times New Roman"/>
        </w:rPr>
        <w:t xml:space="preserve"> (ч. 1 ст. 2 Закону України «Про донорство крові та її компонентів);</w:t>
      </w:r>
    </w:p>
    <w:p w:rsidR="004712EF" w:rsidRPr="005858E4" w:rsidRDefault="004712EF" w:rsidP="00207A78">
      <w:pPr>
        <w:numPr>
          <w:ilvl w:val="0"/>
          <w:numId w:val="8"/>
        </w:numPr>
        <w:jc w:val="both"/>
        <w:rPr>
          <w:rFonts w:ascii="Times New Roman" w:hAnsi="Times New Roman" w:cs="Times New Roman"/>
        </w:rPr>
      </w:pPr>
      <w:r w:rsidRPr="005858E4">
        <w:rPr>
          <w:rFonts w:ascii="Times New Roman" w:hAnsi="Times New Roman" w:cs="Times New Roman"/>
        </w:rPr>
        <w:t>оплата здачі крові передбачена ч. 4 ст. 2 Закону України «Про донорство крові та її компонентів», постановою Кабінету Міністрів України від 27.12.2006 № 1821 «Про підвищення рівня оплати давання донорами крові та (або) її компонентів».</w:t>
      </w:r>
    </w:p>
    <w:p w:rsidR="004712EF" w:rsidRPr="005858E4" w:rsidRDefault="004712EF" w:rsidP="004712EF">
      <w:pPr>
        <w:rPr>
          <w:rFonts w:ascii="Times New Roman" w:hAnsi="Times New Roman" w:cs="Times New Roman"/>
        </w:rPr>
      </w:pPr>
      <w:r w:rsidRPr="005858E4">
        <w:rPr>
          <w:rFonts w:ascii="Times New Roman" w:hAnsi="Times New Roman" w:cs="Times New Roman"/>
        </w:rPr>
        <w:t>Донорство крові та її компонентів не містить ознак підприємницької та/або іншої оплачуваної діяльності, а оплата здачі крові має виключно компенсаційний характер і спрямована на стимулювання та заохочення донорства, розвиток якого є важливою соціально необхідною справою держави.</w:t>
      </w:r>
    </w:p>
    <w:p w:rsidR="004712EF" w:rsidRDefault="004712EF">
      <w:pPr>
        <w:rPr>
          <w:rFonts w:ascii="Times New Roman" w:hAnsi="Times New Roman" w:cs="Times New Roman"/>
        </w:rPr>
      </w:pPr>
    </w:p>
    <w:p w:rsidR="00207A78" w:rsidRPr="005858E4" w:rsidRDefault="00207A78">
      <w:pPr>
        <w:rPr>
          <w:rFonts w:ascii="Times New Roman" w:hAnsi="Times New Roman" w:cs="Times New Roman"/>
        </w:rPr>
      </w:pPr>
    </w:p>
    <w:sectPr w:rsidR="00207A78" w:rsidRPr="005858E4" w:rsidSect="005858E4">
      <w:pgSz w:w="11906" w:h="16838"/>
      <w:pgMar w:top="284"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206"/>
    <w:multiLevelType w:val="multilevel"/>
    <w:tmpl w:val="EFCA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3ABF"/>
    <w:multiLevelType w:val="multilevel"/>
    <w:tmpl w:val="E128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549D8"/>
    <w:multiLevelType w:val="multilevel"/>
    <w:tmpl w:val="6D68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65154"/>
    <w:multiLevelType w:val="multilevel"/>
    <w:tmpl w:val="8CF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F75BE"/>
    <w:multiLevelType w:val="multilevel"/>
    <w:tmpl w:val="A4E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02841"/>
    <w:multiLevelType w:val="multilevel"/>
    <w:tmpl w:val="DD2A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9557E"/>
    <w:multiLevelType w:val="multilevel"/>
    <w:tmpl w:val="29E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E32A0"/>
    <w:multiLevelType w:val="multilevel"/>
    <w:tmpl w:val="E2E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EF"/>
    <w:rsid w:val="00207A78"/>
    <w:rsid w:val="00243277"/>
    <w:rsid w:val="004712EF"/>
    <w:rsid w:val="005858E4"/>
    <w:rsid w:val="00793794"/>
    <w:rsid w:val="008F6DA6"/>
    <w:rsid w:val="00AE719C"/>
    <w:rsid w:val="00D829B3"/>
    <w:rsid w:val="00E37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89365-AC17-4C5F-8D97-B27EA979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8E4"/>
    <w:pPr>
      <w:spacing w:after="0" w:line="240" w:lineRule="auto"/>
    </w:pPr>
  </w:style>
  <w:style w:type="paragraph" w:styleId="a4">
    <w:name w:val="Balloon Text"/>
    <w:basedOn w:val="a"/>
    <w:link w:val="a5"/>
    <w:uiPriority w:val="99"/>
    <w:semiHidden/>
    <w:unhideWhenUsed/>
    <w:rsid w:val="00AE719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E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226">
      <w:bodyDiv w:val="1"/>
      <w:marLeft w:val="0"/>
      <w:marRight w:val="0"/>
      <w:marTop w:val="0"/>
      <w:marBottom w:val="0"/>
      <w:divBdr>
        <w:top w:val="none" w:sz="0" w:space="0" w:color="auto"/>
        <w:left w:val="none" w:sz="0" w:space="0" w:color="auto"/>
        <w:bottom w:val="none" w:sz="0" w:space="0" w:color="auto"/>
        <w:right w:val="none" w:sz="0" w:space="0" w:color="auto"/>
      </w:divBdr>
      <w:divsChild>
        <w:div w:id="796721157">
          <w:marLeft w:val="0"/>
          <w:marRight w:val="0"/>
          <w:marTop w:val="0"/>
          <w:marBottom w:val="0"/>
          <w:divBdr>
            <w:top w:val="none" w:sz="0" w:space="0" w:color="auto"/>
            <w:left w:val="none" w:sz="0" w:space="0" w:color="auto"/>
            <w:bottom w:val="none" w:sz="0" w:space="0" w:color="auto"/>
            <w:right w:val="none" w:sz="0" w:space="0" w:color="auto"/>
          </w:divBdr>
        </w:div>
        <w:div w:id="1025520307">
          <w:marLeft w:val="0"/>
          <w:marRight w:val="0"/>
          <w:marTop w:val="0"/>
          <w:marBottom w:val="0"/>
          <w:divBdr>
            <w:top w:val="none" w:sz="0" w:space="0" w:color="auto"/>
            <w:left w:val="none" w:sz="0" w:space="0" w:color="auto"/>
            <w:bottom w:val="none" w:sz="0" w:space="0" w:color="auto"/>
            <w:right w:val="none" w:sz="0" w:space="0" w:color="auto"/>
          </w:divBdr>
          <w:divsChild>
            <w:div w:id="108993495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63126932">
      <w:bodyDiv w:val="1"/>
      <w:marLeft w:val="0"/>
      <w:marRight w:val="0"/>
      <w:marTop w:val="0"/>
      <w:marBottom w:val="0"/>
      <w:divBdr>
        <w:top w:val="none" w:sz="0" w:space="0" w:color="auto"/>
        <w:left w:val="none" w:sz="0" w:space="0" w:color="auto"/>
        <w:bottom w:val="none" w:sz="0" w:space="0" w:color="auto"/>
        <w:right w:val="none" w:sz="0" w:space="0" w:color="auto"/>
      </w:divBdr>
    </w:div>
    <w:div w:id="196814711">
      <w:bodyDiv w:val="1"/>
      <w:marLeft w:val="0"/>
      <w:marRight w:val="0"/>
      <w:marTop w:val="0"/>
      <w:marBottom w:val="0"/>
      <w:divBdr>
        <w:top w:val="none" w:sz="0" w:space="0" w:color="auto"/>
        <w:left w:val="none" w:sz="0" w:space="0" w:color="auto"/>
        <w:bottom w:val="none" w:sz="0" w:space="0" w:color="auto"/>
        <w:right w:val="none" w:sz="0" w:space="0" w:color="auto"/>
      </w:divBdr>
    </w:div>
    <w:div w:id="235094837">
      <w:bodyDiv w:val="1"/>
      <w:marLeft w:val="0"/>
      <w:marRight w:val="0"/>
      <w:marTop w:val="0"/>
      <w:marBottom w:val="0"/>
      <w:divBdr>
        <w:top w:val="none" w:sz="0" w:space="0" w:color="auto"/>
        <w:left w:val="none" w:sz="0" w:space="0" w:color="auto"/>
        <w:bottom w:val="none" w:sz="0" w:space="0" w:color="auto"/>
        <w:right w:val="none" w:sz="0" w:space="0" w:color="auto"/>
      </w:divBdr>
    </w:div>
    <w:div w:id="341012690">
      <w:bodyDiv w:val="1"/>
      <w:marLeft w:val="0"/>
      <w:marRight w:val="0"/>
      <w:marTop w:val="0"/>
      <w:marBottom w:val="0"/>
      <w:divBdr>
        <w:top w:val="none" w:sz="0" w:space="0" w:color="auto"/>
        <w:left w:val="none" w:sz="0" w:space="0" w:color="auto"/>
        <w:bottom w:val="none" w:sz="0" w:space="0" w:color="auto"/>
        <w:right w:val="none" w:sz="0" w:space="0" w:color="auto"/>
      </w:divBdr>
    </w:div>
    <w:div w:id="375550099">
      <w:bodyDiv w:val="1"/>
      <w:marLeft w:val="0"/>
      <w:marRight w:val="0"/>
      <w:marTop w:val="0"/>
      <w:marBottom w:val="0"/>
      <w:divBdr>
        <w:top w:val="none" w:sz="0" w:space="0" w:color="auto"/>
        <w:left w:val="none" w:sz="0" w:space="0" w:color="auto"/>
        <w:bottom w:val="none" w:sz="0" w:space="0" w:color="auto"/>
        <w:right w:val="none" w:sz="0" w:space="0" w:color="auto"/>
      </w:divBdr>
    </w:div>
    <w:div w:id="878519300">
      <w:bodyDiv w:val="1"/>
      <w:marLeft w:val="0"/>
      <w:marRight w:val="0"/>
      <w:marTop w:val="0"/>
      <w:marBottom w:val="0"/>
      <w:divBdr>
        <w:top w:val="none" w:sz="0" w:space="0" w:color="auto"/>
        <w:left w:val="none" w:sz="0" w:space="0" w:color="auto"/>
        <w:bottom w:val="none" w:sz="0" w:space="0" w:color="auto"/>
        <w:right w:val="none" w:sz="0" w:space="0" w:color="auto"/>
      </w:divBdr>
    </w:div>
    <w:div w:id="1204830147">
      <w:bodyDiv w:val="1"/>
      <w:marLeft w:val="0"/>
      <w:marRight w:val="0"/>
      <w:marTop w:val="0"/>
      <w:marBottom w:val="0"/>
      <w:divBdr>
        <w:top w:val="none" w:sz="0" w:space="0" w:color="auto"/>
        <w:left w:val="none" w:sz="0" w:space="0" w:color="auto"/>
        <w:bottom w:val="none" w:sz="0" w:space="0" w:color="auto"/>
        <w:right w:val="none" w:sz="0" w:space="0" w:color="auto"/>
      </w:divBdr>
    </w:div>
    <w:div w:id="1866554277">
      <w:bodyDiv w:val="1"/>
      <w:marLeft w:val="0"/>
      <w:marRight w:val="0"/>
      <w:marTop w:val="0"/>
      <w:marBottom w:val="0"/>
      <w:divBdr>
        <w:top w:val="none" w:sz="0" w:space="0" w:color="auto"/>
        <w:left w:val="none" w:sz="0" w:space="0" w:color="auto"/>
        <w:bottom w:val="none" w:sz="0" w:space="0" w:color="auto"/>
        <w:right w:val="none" w:sz="0" w:space="0" w:color="auto"/>
      </w:divBdr>
    </w:div>
    <w:div w:id="1866677702">
      <w:bodyDiv w:val="1"/>
      <w:marLeft w:val="0"/>
      <w:marRight w:val="0"/>
      <w:marTop w:val="0"/>
      <w:marBottom w:val="0"/>
      <w:divBdr>
        <w:top w:val="none" w:sz="0" w:space="0" w:color="auto"/>
        <w:left w:val="none" w:sz="0" w:space="0" w:color="auto"/>
        <w:bottom w:val="none" w:sz="0" w:space="0" w:color="auto"/>
        <w:right w:val="none" w:sz="0" w:space="0" w:color="auto"/>
      </w:divBdr>
    </w:div>
    <w:div w:id="20053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9554</Words>
  <Characters>5446</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2021-05-25T13:46:00Z</cp:lastPrinted>
  <dcterms:created xsi:type="dcterms:W3CDTF">2021-05-25T07:17:00Z</dcterms:created>
  <dcterms:modified xsi:type="dcterms:W3CDTF">2021-05-25T13:46:00Z</dcterms:modified>
</cp:coreProperties>
</file>